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3C68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eastAsia="宋体" w:cs="宋体"/>
          <w:b/>
          <w:bCs/>
          <w:color w:val="000000" w:themeColor="text1"/>
          <w:kern w:val="0"/>
          <w:sz w:val="44"/>
          <w:szCs w:val="44"/>
          <w:lang w:bidi="ar"/>
          <w14:textFill>
            <w14:solidFill>
              <w14:schemeClr w14:val="tx1"/>
            </w14:solidFill>
          </w14:textFill>
        </w:rPr>
      </w:pPr>
      <w:r>
        <w:rPr>
          <w:rFonts w:ascii="宋体" w:hAnsi="宋体" w:eastAsia="宋体" w:cs="宋体"/>
          <w:b/>
          <w:bCs/>
          <w:color w:val="000000" w:themeColor="text1"/>
          <w:kern w:val="0"/>
          <w:sz w:val="44"/>
          <w:szCs w:val="44"/>
          <w:lang w:bidi="ar"/>
          <w14:textFill>
            <w14:solidFill>
              <w14:schemeClr w14:val="tx1"/>
            </w14:solidFill>
          </w14:textFill>
        </w:rPr>
        <w:t>安徽建筑大学资助经济困难</w:t>
      </w:r>
      <w:r>
        <w:rPr>
          <w:rFonts w:hint="eastAsia" w:ascii="宋体" w:hAnsi="宋体" w:eastAsia="宋体" w:cs="宋体"/>
          <w:b/>
          <w:bCs/>
          <w:color w:val="000000" w:themeColor="text1"/>
          <w:kern w:val="0"/>
          <w:sz w:val="44"/>
          <w:szCs w:val="44"/>
          <w:lang w:val="en-US" w:eastAsia="zh-CN" w:bidi="ar"/>
          <w14:textFill>
            <w14:solidFill>
              <w14:schemeClr w14:val="tx1"/>
            </w14:solidFill>
          </w14:textFill>
        </w:rPr>
        <w:t>本科生</w:t>
      </w:r>
    </w:p>
    <w:p w14:paraId="6D511AA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eastAsia="宋体" w:cs="宋体"/>
          <w:b/>
          <w:bCs/>
          <w:color w:val="000000" w:themeColor="text1"/>
          <w:kern w:val="0"/>
          <w:sz w:val="44"/>
          <w:szCs w:val="44"/>
          <w:lang w:bidi="ar"/>
          <w14:textFill>
            <w14:solidFill>
              <w14:schemeClr w14:val="tx1"/>
            </w14:solidFill>
          </w14:textFill>
        </w:rPr>
      </w:pPr>
      <w:r>
        <w:rPr>
          <w:rFonts w:ascii="宋体" w:hAnsi="宋体" w:eastAsia="宋体" w:cs="宋体"/>
          <w:b/>
          <w:bCs/>
          <w:color w:val="000000" w:themeColor="text1"/>
          <w:kern w:val="0"/>
          <w:sz w:val="44"/>
          <w:szCs w:val="44"/>
          <w:lang w:bidi="ar"/>
          <w14:textFill>
            <w14:solidFill>
              <w14:schemeClr w14:val="tx1"/>
            </w14:solidFill>
          </w14:textFill>
        </w:rPr>
        <w:t>实施办法</w:t>
      </w:r>
    </w:p>
    <w:p w14:paraId="684B61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eastAsia="宋体" w:cs="宋体"/>
          <w:b/>
          <w:bCs/>
          <w:color w:val="000000" w:themeColor="text1"/>
          <w:kern w:val="0"/>
          <w:sz w:val="44"/>
          <w:szCs w:val="44"/>
          <w:lang w:bidi="ar"/>
          <w14:textFill>
            <w14:solidFill>
              <w14:schemeClr w14:val="tx1"/>
            </w14:solidFill>
          </w14:textFill>
        </w:rPr>
      </w:pPr>
    </w:p>
    <w:p w14:paraId="7B88A5E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黑体" w:hAnsi="黑体" w:eastAsia="黑体" w:cs="黑体"/>
          <w:bCs/>
          <w:color w:val="000000" w:themeColor="text1"/>
          <w:sz w:val="19"/>
          <w:szCs w:val="19"/>
          <w14:textFill>
            <w14:solidFill>
              <w14:schemeClr w14:val="tx1"/>
            </w14:solidFill>
          </w14:textFill>
        </w:rPr>
      </w:pPr>
      <w:r>
        <w:rPr>
          <w:rStyle w:val="7"/>
          <w:rFonts w:hint="eastAsia" w:ascii="黑体" w:hAnsi="黑体" w:eastAsia="黑体" w:cs="黑体"/>
          <w:b w:val="0"/>
          <w:bCs/>
          <w:color w:val="000000" w:themeColor="text1"/>
          <w:sz w:val="32"/>
          <w:szCs w:val="32"/>
          <w:shd w:val="clear" w:color="auto" w:fill="FFFFFF"/>
          <w14:textFill>
            <w14:solidFill>
              <w14:schemeClr w14:val="tx1"/>
            </w14:solidFill>
          </w14:textFill>
        </w:rPr>
        <w:t>第一章 总 则</w:t>
      </w:r>
    </w:p>
    <w:p w14:paraId="513FCE1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1"/>
        <w:jc w:val="both"/>
        <w:textAlignment w:val="auto"/>
        <w:rPr>
          <w:rFonts w:ascii="仿宋_GB2312" w:hAnsi="Helvetica" w:eastAsia="仿宋_GB2312" w:cs="仿宋_GB2312"/>
          <w:color w:val="000000" w:themeColor="text1"/>
          <w:sz w:val="32"/>
          <w:szCs w:val="32"/>
          <w:shd w:val="clear" w:color="auto" w:fill="FFFFFF"/>
          <w14:textFill>
            <w14:solidFill>
              <w14:schemeClr w14:val="tx1"/>
            </w14:solidFill>
          </w14:textFill>
        </w:rPr>
      </w:pPr>
      <w:r>
        <w:rPr>
          <w:rFonts w:hint="eastAsia" w:ascii="仿宋_GB2312" w:hAnsi="Helvetica" w:eastAsia="仿宋_GB2312" w:cs="仿宋_GB2312"/>
          <w:b/>
          <w:color w:val="000000" w:themeColor="text1"/>
          <w:sz w:val="32"/>
          <w:szCs w:val="32"/>
          <w:shd w:val="clear" w:color="auto" w:fill="FFFFFF"/>
          <w14:textFill>
            <w14:solidFill>
              <w14:schemeClr w14:val="tx1"/>
            </w14:solidFill>
          </w14:textFill>
        </w:rPr>
        <w:t>第一条</w:t>
      </w:r>
      <w:r>
        <w:rPr>
          <w:rFonts w:hint="eastAsia" w:ascii="仿宋_GB2312" w:hAnsi="Helvetica" w:eastAsia="仿宋_GB2312" w:cs="仿宋_GB2312"/>
          <w:color w:val="000000" w:themeColor="text1"/>
          <w:sz w:val="32"/>
          <w:szCs w:val="32"/>
          <w:shd w:val="clear" w:color="auto" w:fill="FFFFFF"/>
          <w14:textFill>
            <w14:solidFill>
              <w14:schemeClr w14:val="tx1"/>
            </w14:solidFill>
          </w14:textFill>
        </w:rPr>
        <w:t xml:space="preserve"> 根据教育部和安徽省教育厅有关加强对家庭经济困难学生资助工作的有关文件精神，结合学校实际，制定本办法。 </w:t>
      </w:r>
    </w:p>
    <w:p w14:paraId="2FDD0A7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1"/>
        <w:jc w:val="both"/>
        <w:textAlignment w:val="auto"/>
        <w:rPr>
          <w:rFonts w:ascii="Helvetica" w:hAnsi="Helvetica" w:eastAsia="仿宋_GB2312" w:cs="Helvetica"/>
          <w:color w:val="000000" w:themeColor="text1"/>
          <w:sz w:val="19"/>
          <w:szCs w:val="19"/>
          <w14:textFill>
            <w14:solidFill>
              <w14:schemeClr w14:val="tx1"/>
            </w14:solidFill>
          </w14:textFill>
        </w:rPr>
      </w:pPr>
      <w:r>
        <w:rPr>
          <w:rFonts w:hint="eastAsia" w:ascii="仿宋_GB2312" w:hAnsi="Helvetica" w:eastAsia="仿宋_GB2312" w:cs="仿宋_GB2312"/>
          <w:b/>
          <w:color w:val="000000" w:themeColor="text1"/>
          <w:sz w:val="32"/>
          <w:szCs w:val="32"/>
          <w:shd w:val="clear" w:color="auto" w:fill="FFFFFF"/>
          <w:lang w:bidi="ar"/>
          <w14:textFill>
            <w14:solidFill>
              <w14:schemeClr w14:val="tx1"/>
            </w14:solidFill>
          </w14:textFill>
        </w:rPr>
        <w:t>第二条</w:t>
      </w:r>
      <w:r>
        <w:rPr>
          <w:rFonts w:hint="eastAsia" w:ascii="仿宋_GB2312" w:hAnsi="Helvetica" w:eastAsia="仿宋_GB2312" w:cs="仿宋_GB2312"/>
          <w:color w:val="000000" w:themeColor="text1"/>
          <w:sz w:val="32"/>
          <w:szCs w:val="32"/>
          <w:shd w:val="clear" w:color="auto" w:fill="FFFFFF"/>
          <w:lang w:bidi="ar"/>
          <w14:textFill>
            <w14:solidFill>
              <w14:schemeClr w14:val="tx1"/>
            </w14:solidFill>
          </w14:textFill>
        </w:rPr>
        <w:t xml:space="preserve"> 本办法适用于安徽建筑大学全日制在籍</w:t>
      </w:r>
      <w:r>
        <w:rPr>
          <w:rFonts w:hint="eastAsia" w:ascii="仿宋_GB2312" w:hAnsi="Helvetica" w:eastAsia="仿宋_GB2312" w:cs="仿宋_GB2312"/>
          <w:color w:val="000000" w:themeColor="text1"/>
          <w:sz w:val="32"/>
          <w:szCs w:val="32"/>
          <w:shd w:val="clear" w:color="auto" w:fill="FFFFFF"/>
          <w:lang w:val="en-US" w:eastAsia="zh-CN" w:bidi="ar"/>
          <w14:textFill>
            <w14:solidFill>
              <w14:schemeClr w14:val="tx1"/>
            </w14:solidFill>
          </w14:textFill>
        </w:rPr>
        <w:t>本科</w:t>
      </w:r>
      <w:r>
        <w:rPr>
          <w:rFonts w:hint="eastAsia" w:ascii="仿宋_GB2312" w:hAnsi="Helvetica" w:eastAsia="仿宋_GB2312" w:cs="仿宋_GB2312"/>
          <w:color w:val="000000" w:themeColor="text1"/>
          <w:sz w:val="32"/>
          <w:szCs w:val="32"/>
          <w:shd w:val="clear" w:color="auto" w:fill="FFFFFF"/>
          <w:lang w:bidi="ar"/>
          <w14:textFill>
            <w14:solidFill>
              <w14:schemeClr w14:val="tx1"/>
            </w14:solidFill>
          </w14:textFill>
        </w:rPr>
        <w:t>生。</w:t>
      </w:r>
    </w:p>
    <w:p w14:paraId="2191D48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color w:val="000000" w:themeColor="text1"/>
          <w:kern w:val="0"/>
          <w:sz w:val="32"/>
          <w:szCs w:val="32"/>
          <w:shd w:val="clear" w:color="auto" w:fill="FFFFFF"/>
          <w:lang w:bidi="ar"/>
          <w14:textFill>
            <w14:solidFill>
              <w14:schemeClr w14:val="tx1"/>
            </w14:solidFill>
          </w14:textFill>
        </w:rPr>
        <w:t>第三条</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 xml:space="preserve"> 坚持实事求是、公平公正的原则，切实帮助家庭经济困难学生缓解经济压力，保障</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他们在校期间安心学习，培养自强自立的精神，顺利完成学业。</w:t>
      </w:r>
    </w:p>
    <w:p w14:paraId="15CAA17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Style w:val="7"/>
          <w:rFonts w:ascii="黑体" w:hAnsi="黑体" w:eastAsia="黑体" w:cs="黑体"/>
          <w:b w:val="0"/>
          <w:bCs/>
          <w:color w:val="000000" w:themeColor="text1"/>
          <w:sz w:val="32"/>
          <w:szCs w:val="32"/>
          <w:highlight w:val="none"/>
          <w:shd w:val="clear" w:color="auto" w:fill="FFFFFF"/>
          <w14:textFill>
            <w14:solidFill>
              <w14:schemeClr w14:val="tx1"/>
            </w14:solidFill>
          </w14:textFill>
        </w:rPr>
      </w:pPr>
      <w:r>
        <w:rPr>
          <w:rStyle w:val="7"/>
          <w:rFonts w:hint="eastAsia" w:ascii="黑体" w:hAnsi="黑体" w:eastAsia="黑体" w:cs="黑体"/>
          <w:b w:val="0"/>
          <w:bCs/>
          <w:color w:val="000000" w:themeColor="text1"/>
          <w:sz w:val="32"/>
          <w:szCs w:val="32"/>
          <w:highlight w:val="none"/>
          <w:shd w:val="clear" w:color="auto" w:fill="FFFFFF"/>
          <w14:textFill>
            <w14:solidFill>
              <w14:schemeClr w14:val="tx1"/>
            </w14:solidFill>
          </w14:textFill>
        </w:rPr>
        <w:t>第二章 组织机构</w:t>
      </w:r>
    </w:p>
    <w:p w14:paraId="7261EDC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color w:val="000000" w:themeColor="text1"/>
          <w:kern w:val="0"/>
          <w:sz w:val="32"/>
          <w:szCs w:val="32"/>
          <w:highlight w:val="none"/>
          <w:shd w:val="clear" w:color="auto" w:fill="FFFFFF"/>
          <w:lang w:bidi="ar"/>
          <w14:textFill>
            <w14:solidFill>
              <w14:schemeClr w14:val="tx1"/>
            </w14:solidFill>
          </w14:textFill>
        </w:rPr>
        <w:t>第四条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在学校学生工作委员会领导下，学校成立由学校主要领导担任组长、分管领导担任副组长，宣传部、学生处、财务处、教务处、就业工作处、审计处、保卫处、校团委、后勤管理处等部门和各学院</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党委（党总支）</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主要负责人与学生代表参加的学校学生资助工作领导小组，领导小组办公室设在学生处，具体负责家庭经济困难学生的认定、审核、资助和管理工作。</w:t>
      </w:r>
    </w:p>
    <w:p w14:paraId="4DB2DFE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both"/>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b/>
          <w:color w:val="000000" w:themeColor="text1"/>
          <w:kern w:val="0"/>
          <w:sz w:val="32"/>
          <w:szCs w:val="32"/>
          <w:highlight w:val="none"/>
          <w:shd w:val="clear" w:color="auto" w:fill="FFFFFF"/>
          <w:lang w:bidi="ar"/>
          <w14:textFill>
            <w14:solidFill>
              <w14:schemeClr w14:val="tx1"/>
            </w14:solidFill>
          </w14:textFill>
        </w:rPr>
        <w:t>第五条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各学院成立以学院党委（党总支</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）书记或副书记为组长，学工办主任、专兼职辅导员、学生代表等成员参加的资助工作小组，指导和管理本学院学生资助工作。</w:t>
      </w:r>
    </w:p>
    <w:p w14:paraId="5EE841A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Fonts w:ascii="Helvetica" w:hAnsi="Helvetica" w:eastAsia="Helvetica" w:cs="Helvetica"/>
          <w:color w:val="000000" w:themeColor="text1"/>
          <w:sz w:val="19"/>
          <w:szCs w:val="19"/>
          <w14:textFill>
            <w14:solidFill>
              <w14:schemeClr w14:val="tx1"/>
            </w14:solidFill>
          </w14:textFill>
        </w:rPr>
      </w:pPr>
      <w:r>
        <w:rPr>
          <w:rStyle w:val="7"/>
          <w:rFonts w:hint="eastAsia" w:ascii="黑体" w:hAnsi="黑体" w:eastAsia="黑体" w:cs="黑体"/>
          <w:b w:val="0"/>
          <w:bCs/>
          <w:color w:val="000000" w:themeColor="text1"/>
          <w:sz w:val="32"/>
          <w:szCs w:val="32"/>
          <w:shd w:val="clear" w:color="auto" w:fill="FFFFFF"/>
          <w14:textFill>
            <w14:solidFill>
              <w14:schemeClr w14:val="tx1"/>
            </w14:solidFill>
          </w14:textFill>
        </w:rPr>
        <w:t>第三章 资助项目</w:t>
      </w:r>
    </w:p>
    <w:p w14:paraId="0CC842D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b/>
          <w:color w:val="000000" w:themeColor="text1"/>
          <w:kern w:val="0"/>
          <w:sz w:val="32"/>
          <w:szCs w:val="32"/>
          <w:shd w:val="clear" w:color="auto" w:fill="FFFFFF"/>
          <w:lang w:bidi="ar"/>
          <w14:textFill>
            <w14:solidFill>
              <w14:schemeClr w14:val="tx1"/>
            </w14:solidFill>
          </w14:textFill>
        </w:rPr>
        <w:t>第六条</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 xml:space="preserve"> 励志奖学金：励志奖学金奖励资助品学兼优的家庭经济困难学生，包括国家励志奖学金和社会各界设立的励志奖学金等。</w:t>
      </w:r>
    </w:p>
    <w:p w14:paraId="752DA9E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（一）国家励志奖学金是指由中央政府和安徽省政府共同出资设立，用于奖励资助品学兼优的家庭经济困难学生。</w:t>
      </w:r>
      <w:bookmarkStart w:id="0" w:name="_GoBack"/>
      <w:bookmarkEnd w:id="0"/>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依照《安徽建筑大学国家励志奖学金评选管理办法》等进行评选。</w:t>
      </w:r>
    </w:p>
    <w:p w14:paraId="47963C6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（二）社会励志奖学金是由社会各界在学校设立的，奖励资助品学兼优的家庭经济困难学生，依照《安徽建筑大学社会奖学金评定管理办法》等进行评选。</w:t>
      </w:r>
    </w:p>
    <w:p w14:paraId="1167195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b/>
          <w:color w:val="000000" w:themeColor="text1"/>
          <w:kern w:val="0"/>
          <w:sz w:val="32"/>
          <w:szCs w:val="32"/>
          <w:shd w:val="clear" w:color="auto" w:fill="FFFFFF"/>
          <w:lang w:bidi="ar"/>
          <w14:textFill>
            <w14:solidFill>
              <w14:schemeClr w14:val="tx1"/>
            </w14:solidFill>
          </w14:textFill>
        </w:rPr>
        <w:t>第七条</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 xml:space="preserve"> 国家助学金：国家助学金是由中央政府和安徽省政府共同出资设立，用于资助家庭经济困难全日制在籍本科学生。依照《安徽建筑大学国家本科生助学金评选管理办法》等实施。</w:t>
      </w:r>
    </w:p>
    <w:p w14:paraId="3C474A7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ascii="Helvetica" w:hAnsi="Helvetica" w:eastAsia="Helvetica" w:cs="Helvetica"/>
          <w:color w:val="000000" w:themeColor="text1"/>
          <w:sz w:val="19"/>
          <w:szCs w:val="19"/>
          <w14:textFill>
            <w14:solidFill>
              <w14:schemeClr w14:val="tx1"/>
            </w14:solidFill>
          </w14:textFill>
        </w:rPr>
      </w:pPr>
      <w:r>
        <w:rPr>
          <w:rFonts w:hint="eastAsia" w:ascii="仿宋_GB2312" w:hAnsi="Helvetica" w:eastAsia="仿宋_GB2312" w:cs="仿宋_GB2312"/>
          <w:b/>
          <w:color w:val="000000" w:themeColor="text1"/>
          <w:kern w:val="0"/>
          <w:sz w:val="32"/>
          <w:szCs w:val="32"/>
          <w:shd w:val="clear" w:color="auto" w:fill="FFFFFF"/>
          <w:lang w:bidi="ar"/>
          <w14:textFill>
            <w14:solidFill>
              <w14:schemeClr w14:val="tx1"/>
            </w14:solidFill>
          </w14:textFill>
        </w:rPr>
        <w:t>第八条</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 xml:space="preserve"> 学生助学贷款：学校全面贯彻执行学生助学贷款有关政策，精心组织、积极推进学生助学贷款的各项工作，具体依照《安徽建筑大学学生生源地信用助学贷款管理办法》等实施。</w:t>
      </w:r>
    </w:p>
    <w:p w14:paraId="35CC8BE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color w:val="000000" w:themeColor="text1"/>
          <w:kern w:val="0"/>
          <w:sz w:val="32"/>
          <w:szCs w:val="32"/>
          <w:shd w:val="clear" w:color="auto" w:fill="FFFFFF"/>
          <w:lang w:bidi="ar"/>
          <w14:textFill>
            <w14:solidFill>
              <w14:schemeClr w14:val="tx1"/>
            </w14:solidFill>
          </w14:textFill>
        </w:rPr>
        <w:t>第九条</w:t>
      </w:r>
      <w:r>
        <w:rPr>
          <w:rFonts w:hint="eastAsia" w:ascii="仿宋_GB2312" w:hAnsi="Helvetica" w:eastAsia="仿宋_GB2312" w:cs="仿宋_GB2312"/>
          <w:color w:val="000000" w:themeColor="text1"/>
          <w:kern w:val="0"/>
          <w:sz w:val="32"/>
          <w:szCs w:val="32"/>
          <w:shd w:val="clear" w:color="auto" w:fill="FFFFFF"/>
          <w:lang w:bidi="ar"/>
          <w14:textFill>
            <w14:solidFill>
              <w14:schemeClr w14:val="tx1"/>
            </w14:solidFill>
          </w14:textFill>
        </w:rPr>
        <w:t xml:space="preserve"> 勤工助学：学校设立资金，积极增设勤工助学岗位，提倡、支持</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并依法组织家庭经济困难的学生开展勤工助学活动，保护学生以诚实劳动和服务获得的合法报酬。具体依照《安徽建筑大学学生勤工助学管理办法》等实施。</w:t>
      </w:r>
    </w:p>
    <w:p w14:paraId="018AF1E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color w:val="000000" w:themeColor="text1"/>
          <w:kern w:val="0"/>
          <w:sz w:val="32"/>
          <w:szCs w:val="32"/>
          <w:highlight w:val="none"/>
          <w:shd w:val="clear" w:color="auto" w:fill="FFFFFF"/>
          <w:lang w:bidi="ar"/>
          <w14:textFill>
            <w14:solidFill>
              <w14:schemeClr w14:val="tx1"/>
            </w14:solidFill>
          </w14:textFill>
        </w:rPr>
        <w:t>第十条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困难补助：</w:t>
      </w:r>
    </w:p>
    <w:p w14:paraId="311988D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（一）困难补助的对象包括：遭受自然灾害</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或其他原因</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导致</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临时</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生活困难的学生和隐形困难学生等。</w:t>
      </w:r>
    </w:p>
    <w:p w14:paraId="3C0A070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（二）困难学生的补助流程，采取学生本人申请（补助隐形困难学生无须个人申请）</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辅导员确认</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学院审核</w:t>
      </w:r>
      <w:r>
        <w:rPr>
          <w:rFonts w:hint="eastAsia" w:ascii="仿宋_GB2312" w:hAnsi="Helvetica" w:eastAsia="仿宋_GB2312" w:cs="仿宋_GB2312"/>
          <w:color w:val="000000" w:themeColor="text1"/>
          <w:kern w:val="0"/>
          <w:sz w:val="32"/>
          <w:szCs w:val="32"/>
          <w:highlight w:val="none"/>
          <w:shd w:val="clear" w:color="auto" w:fill="FFFFFF"/>
          <w:lang w:eastAsia="zh-CN" w:bidi="ar"/>
          <w14:textFill>
            <w14:solidFill>
              <w14:schemeClr w14:val="tx1"/>
            </w14:solidFill>
          </w14:textFill>
        </w:rPr>
        <w:t>—</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学生处报校领导审批后，由财务处发放。</w:t>
      </w:r>
    </w:p>
    <w:p w14:paraId="307BD20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（三）困难补助的资助标准</w:t>
      </w: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为500-5000元/生，</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根据学生经济困难程度及具体情况确定。</w:t>
      </w: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具体如下：</w:t>
      </w:r>
    </w:p>
    <w:p w14:paraId="7B1EC4B7">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 xml:space="preserve">      1.因家庭无经济来源导致基本生活困难的，最高补助2000元/生。</w:t>
      </w:r>
    </w:p>
    <w:p w14:paraId="7B33F206">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default"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 xml:space="preserve">      2.因个人财产遭受较大损失导致临时生活困难的，最高补助3000元/生。</w:t>
      </w:r>
    </w:p>
    <w:p w14:paraId="66FE7E9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3.因家庭直系亲属患重大疾病或者伤亡导致家庭经济收入锐减影响基本生活的，最高补助4000元/生。</w:t>
      </w:r>
    </w:p>
    <w:p w14:paraId="188F486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0" w:firstLineChars="300"/>
        <w:jc w:val="both"/>
        <w:textAlignment w:val="auto"/>
        <w:rPr>
          <w:rFonts w:hint="default"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4.因学生本人患重大疾病或遭受严重意外伤害的，最高补助5000元/生。</w:t>
      </w:r>
    </w:p>
    <w:p w14:paraId="20A7FCC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5.因家庭遭受自然灾害等情况，及隐形困难补助，按照困难生库学生800元/生、非困难生库学生600元/生标准补助。</w:t>
      </w:r>
    </w:p>
    <w:p w14:paraId="424D486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0" w:firstLineChars="300"/>
        <w:jc w:val="both"/>
        <w:textAlignment w:val="auto"/>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6.学校年度困难生走访补助，按照实地走访800元/生、线上走访600元/生标准补助。</w:t>
      </w:r>
    </w:p>
    <w:p w14:paraId="1D1C559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0" w:firstLineChars="300"/>
        <w:jc w:val="both"/>
        <w:textAlignment w:val="auto"/>
        <w:rPr>
          <w:rFonts w:hint="default"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val="en-US" w:eastAsia="zh-CN" w:bidi="ar"/>
          <w14:textFill>
            <w14:solidFill>
              <w14:schemeClr w14:val="tx1"/>
            </w14:solidFill>
          </w14:textFill>
        </w:rPr>
        <w:t>7.对其他特殊情况的困难补助另行研究，酌情处理。</w:t>
      </w:r>
    </w:p>
    <w:p w14:paraId="7AA1878F">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27"/>
        <w:jc w:val="left"/>
        <w:textAlignment w:val="auto"/>
        <w:rPr>
          <w:rFonts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（四）脱贫家庭学生资助方式以上级文件为准。</w:t>
      </w:r>
    </w:p>
    <w:p w14:paraId="0502ABF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color w:val="000000" w:themeColor="text1"/>
          <w:kern w:val="0"/>
          <w:sz w:val="32"/>
          <w:szCs w:val="32"/>
          <w:highlight w:val="none"/>
          <w:shd w:val="clear" w:color="auto" w:fill="FFFFFF"/>
          <w:lang w:bidi="ar"/>
          <w14:textFill>
            <w14:solidFill>
              <w14:schemeClr w14:val="tx1"/>
            </w14:solidFill>
          </w14:textFill>
        </w:rPr>
        <w:t>第十一条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学费缓、减、免：</w:t>
      </w:r>
    </w:p>
    <w:p w14:paraId="668EC71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（一）高等教育属于非义务教育阶段，学生应依据国家有关规定，向学校缴纳学费和住宿费。未按学校规定缴纳学费或者其他不符合注册条件的不予注册。</w:t>
      </w:r>
    </w:p>
    <w:p w14:paraId="0849D24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（二）对部分确因经济条件所限，交纳学费有困难的学生，特别是孤儿或孤儿成年后就读等符合国家政策规定的，可向学校申请学费缓交、减交或免交。</w:t>
      </w:r>
    </w:p>
    <w:p w14:paraId="4DBA070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（三）对申请缓交学费的学生，由各学院代表学校与其签订协议，明确缓交期限。逾期不交、恶意欠费逃费的学生，学校停发各种奖助学金，并取消其评奖评优资格。</w:t>
      </w:r>
    </w:p>
    <w:p w14:paraId="58A7310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27"/>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四）对家庭经济特别困难，确实无法负担学费的学生，或由上级部门有关文件明确规定符合学费减免要求的学生，可根据其家庭情况，给予一定比例的减免。申请减免学费由学生本人提出书面申请和所在乡镇、街道证明。所在学院审核，报学生处审查，由学校学生资助工作领导小组审批。</w:t>
      </w:r>
    </w:p>
    <w:p w14:paraId="281E132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kern w:val="0"/>
          <w:sz w:val="32"/>
          <w:szCs w:val="32"/>
          <w:highlight w:val="none"/>
          <w:shd w:val="clear" w:color="auto" w:fill="FFFFFF"/>
          <w:lang w:bidi="ar"/>
          <w14:textFill>
            <w14:solidFill>
              <w14:schemeClr w14:val="tx1"/>
            </w14:solidFill>
          </w14:textFill>
        </w:rPr>
        <w:t>第十二条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绿色通道：学校在每学年新生入学时，建立“绿色通道”制度，对被录取入学、家庭经济困难的新生，凭本人申请和有关家庭困难的证明，可先办理入学手续，再根据核实后的情况，给予相应资助。</w:t>
      </w:r>
    </w:p>
    <w:p w14:paraId="686C29E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Style w:val="7"/>
          <w:rFonts w:ascii="黑体" w:hAnsi="黑体" w:eastAsia="黑体" w:cs="黑体"/>
          <w:b w:val="0"/>
          <w:bCs/>
          <w:color w:val="000000" w:themeColor="text1"/>
          <w:sz w:val="32"/>
          <w:szCs w:val="32"/>
          <w:highlight w:val="none"/>
          <w:shd w:val="clear" w:color="auto" w:fill="FFFFFF"/>
          <w14:textFill>
            <w14:solidFill>
              <w14:schemeClr w14:val="tx1"/>
            </w14:solidFill>
          </w14:textFill>
        </w:rPr>
      </w:pPr>
      <w:r>
        <w:rPr>
          <w:rStyle w:val="7"/>
          <w:rFonts w:hint="eastAsia" w:ascii="黑体" w:hAnsi="黑体" w:eastAsia="黑体" w:cs="黑体"/>
          <w:b w:val="0"/>
          <w:bCs/>
          <w:color w:val="000000" w:themeColor="text1"/>
          <w:sz w:val="32"/>
          <w:szCs w:val="32"/>
          <w:highlight w:val="none"/>
          <w:shd w:val="clear" w:color="auto" w:fill="FFFFFF"/>
          <w14:textFill>
            <w14:solidFill>
              <w14:schemeClr w14:val="tx1"/>
            </w14:solidFill>
          </w14:textFill>
        </w:rPr>
        <w:t>第四章 日常管理</w:t>
      </w:r>
    </w:p>
    <w:p w14:paraId="00F9D995">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both"/>
        <w:textAlignment w:val="auto"/>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pPr>
      <w:r>
        <w:rPr>
          <w:rFonts w:hint="eastAsia" w:ascii="仿宋_GB2312" w:hAnsi="Helvetica" w:eastAsia="仿宋_GB2312" w:cs="仿宋_GB2312"/>
          <w:b/>
          <w:bCs/>
          <w:color w:val="000000" w:themeColor="text1"/>
          <w:kern w:val="0"/>
          <w:sz w:val="32"/>
          <w:szCs w:val="32"/>
          <w:highlight w:val="none"/>
          <w:shd w:val="clear" w:color="auto" w:fill="FFFFFF"/>
          <w:lang w:bidi="ar"/>
          <w14:textFill>
            <w14:solidFill>
              <w14:schemeClr w14:val="tx1"/>
            </w14:solidFill>
          </w14:textFill>
        </w:rPr>
        <w:t>第十三条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学校建立家庭经济困难学生动态数据库，每年九月份，由各学院将家庭困难学生及其情况汇总报学生处，同时在学生资助管理系统认真填报，工作过程中相关人员应注意保护学生隐私，确保学生资助工作有效开展。</w:t>
      </w:r>
    </w:p>
    <w:p w14:paraId="274116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kern w:val="0"/>
          <w:sz w:val="32"/>
          <w:szCs w:val="32"/>
          <w:highlight w:val="none"/>
          <w:shd w:val="clear" w:color="auto" w:fill="FFFFFF"/>
          <w:lang w:bidi="ar"/>
          <w14:textFill>
            <w14:solidFill>
              <w14:schemeClr w14:val="tx1"/>
            </w14:solidFill>
          </w14:textFill>
        </w:rPr>
        <w:t>第十四条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建立健全学生个人信用制度体系，将学生在校期间诚信情况作为大学生档案的重要内容，建立学生诚信档案。对讲文明诚信的大学生进行表彰奖励；对不讲诚信的学生，由所在学院给予警示，并做好学生思想教育工作；对恶意拖欠学费、不讲信誉情节严重、屡教不改的，全校通报批评，并记入学生诚信档案。</w:t>
      </w:r>
    </w:p>
    <w:p w14:paraId="340230B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kern w:val="0"/>
          <w:sz w:val="32"/>
          <w:szCs w:val="32"/>
          <w:highlight w:val="none"/>
          <w:shd w:val="clear" w:color="auto" w:fill="FFFFFF"/>
          <w:lang w:bidi="ar"/>
          <w14:textFill>
            <w14:solidFill>
              <w14:schemeClr w14:val="tx1"/>
            </w14:solidFill>
          </w14:textFill>
        </w:rPr>
        <w:t>第十五条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有下列情况之一的学生，学校不予资助：</w:t>
      </w:r>
    </w:p>
    <w:p w14:paraId="045A98C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（一）未注册的；</w:t>
      </w:r>
    </w:p>
    <w:p w14:paraId="64B9A4D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（二）与学校签署缓交学费协议，逾期不交的；</w:t>
      </w:r>
    </w:p>
    <w:p w14:paraId="2E175FE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（三）恶意欠费、逃费的；</w:t>
      </w:r>
    </w:p>
    <w:p w14:paraId="4475F087">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（四）本年度受纪律处分的；</w:t>
      </w:r>
    </w:p>
    <w:p w14:paraId="7F6B01F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1"/>
        <w:jc w:val="left"/>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（五）其他。</w:t>
      </w:r>
    </w:p>
    <w:p w14:paraId="2FECDA5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Style w:val="7"/>
          <w:rFonts w:ascii="黑体" w:hAnsi="黑体" w:eastAsia="黑体" w:cs="黑体"/>
          <w:b w:val="0"/>
          <w:bCs/>
          <w:color w:val="000000" w:themeColor="text1"/>
          <w:sz w:val="32"/>
          <w:szCs w:val="32"/>
          <w:highlight w:val="none"/>
          <w:shd w:val="clear" w:color="auto" w:fill="FFFFFF"/>
          <w14:textFill>
            <w14:solidFill>
              <w14:schemeClr w14:val="tx1"/>
            </w14:solidFill>
          </w14:textFill>
        </w:rPr>
      </w:pPr>
      <w:r>
        <w:rPr>
          <w:rStyle w:val="7"/>
          <w:rFonts w:hint="eastAsia" w:ascii="黑体" w:hAnsi="黑体" w:eastAsia="黑体" w:cs="黑体"/>
          <w:b w:val="0"/>
          <w:bCs/>
          <w:color w:val="000000" w:themeColor="text1"/>
          <w:sz w:val="32"/>
          <w:szCs w:val="32"/>
          <w:highlight w:val="none"/>
          <w:shd w:val="clear" w:color="auto" w:fill="FFFFFF"/>
          <w14:textFill>
            <w14:solidFill>
              <w14:schemeClr w14:val="tx1"/>
            </w14:solidFill>
          </w14:textFill>
        </w:rPr>
        <w:t>第五章 监督管理</w:t>
      </w:r>
    </w:p>
    <w:p w14:paraId="164E4E2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1"/>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sz w:val="32"/>
          <w:szCs w:val="32"/>
          <w:highlight w:val="none"/>
          <w:shd w:val="clear" w:color="auto" w:fill="FFFFFF"/>
          <w:lang w:bidi="ar"/>
          <w14:textFill>
            <w14:solidFill>
              <w14:schemeClr w14:val="tx1"/>
            </w14:solidFill>
          </w14:textFill>
        </w:rPr>
        <w:t>第十六条</w:t>
      </w:r>
      <w:r>
        <w:rPr>
          <w:rFonts w:hint="eastAsia" w:ascii="仿宋_GB2312" w:hAnsi="Helvetica" w:eastAsia="仿宋_GB2312" w:cs="仿宋_GB2312"/>
          <w:color w:val="000000" w:themeColor="text1"/>
          <w:sz w:val="32"/>
          <w:szCs w:val="32"/>
          <w:highlight w:val="none"/>
          <w:shd w:val="clear" w:color="auto" w:fill="FFFFFF"/>
          <w14:textFill>
            <w14:solidFill>
              <w14:schemeClr w14:val="tx1"/>
            </w14:solidFill>
          </w14:textFill>
        </w:rPr>
        <w:t xml:space="preserve"> 学校学生资助工作领导小组负责组织对各学院学生资助的考核工作。</w:t>
      </w:r>
    </w:p>
    <w:p w14:paraId="179C75F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1"/>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sz w:val="32"/>
          <w:szCs w:val="32"/>
          <w:highlight w:val="none"/>
          <w:shd w:val="clear" w:color="auto" w:fill="FFFFFF"/>
          <w14:textFill>
            <w14:solidFill>
              <w14:schemeClr w14:val="tx1"/>
            </w14:solidFill>
          </w14:textFill>
        </w:rPr>
        <w:t>第十七条</w:t>
      </w:r>
      <w:r>
        <w:rPr>
          <w:rFonts w:hint="eastAsia" w:ascii="仿宋_GB2312" w:hAnsi="Helvetica" w:eastAsia="仿宋_GB2312" w:cs="仿宋_GB2312"/>
          <w:color w:val="000000" w:themeColor="text1"/>
          <w:sz w:val="32"/>
          <w:szCs w:val="32"/>
          <w:highlight w:val="none"/>
          <w:shd w:val="clear" w:color="auto" w:fill="FFFFFF"/>
          <w14:textFill>
            <w14:solidFill>
              <w14:schemeClr w14:val="tx1"/>
            </w14:solidFill>
          </w14:textFill>
        </w:rPr>
        <w:t xml:space="preserve"> 学生资助工作考核主要通过审核资料、问卷调查、实地走访调研等方式开展。</w:t>
      </w:r>
    </w:p>
    <w:p w14:paraId="134EEA4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center"/>
        <w:textAlignment w:val="auto"/>
        <w:rPr>
          <w:rStyle w:val="7"/>
          <w:rFonts w:ascii="黑体" w:hAnsi="黑体" w:eastAsia="黑体" w:cs="黑体"/>
          <w:b w:val="0"/>
          <w:bCs/>
          <w:color w:val="000000" w:themeColor="text1"/>
          <w:sz w:val="32"/>
          <w:szCs w:val="32"/>
          <w:highlight w:val="none"/>
          <w:shd w:val="clear" w:color="auto" w:fill="FFFFFF"/>
          <w14:textFill>
            <w14:solidFill>
              <w14:schemeClr w14:val="tx1"/>
            </w14:solidFill>
          </w14:textFill>
        </w:rPr>
      </w:pPr>
      <w:r>
        <w:rPr>
          <w:rStyle w:val="7"/>
          <w:rFonts w:hint="eastAsia" w:ascii="黑体" w:hAnsi="黑体" w:eastAsia="黑体" w:cs="黑体"/>
          <w:b w:val="0"/>
          <w:bCs/>
          <w:color w:val="000000" w:themeColor="text1"/>
          <w:sz w:val="32"/>
          <w:szCs w:val="32"/>
          <w:highlight w:val="none"/>
          <w:shd w:val="clear" w:color="auto" w:fill="FFFFFF"/>
          <w14:textFill>
            <w14:solidFill>
              <w14:schemeClr w14:val="tx1"/>
            </w14:solidFill>
          </w14:textFill>
        </w:rPr>
        <w:t>第六章 附 则</w:t>
      </w:r>
    </w:p>
    <w:p w14:paraId="0A81ED4C">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ascii="Helvetica" w:hAnsi="Helvetica" w:eastAsia="Helvetica" w:cs="Helvetica"/>
          <w:color w:val="000000" w:themeColor="text1"/>
          <w:sz w:val="19"/>
          <w:szCs w:val="19"/>
          <w:highlight w:val="none"/>
          <w14:textFill>
            <w14:solidFill>
              <w14:schemeClr w14:val="tx1"/>
            </w14:solidFill>
          </w14:textFill>
        </w:rPr>
      </w:pPr>
      <w:r>
        <w:rPr>
          <w:rFonts w:hint="eastAsia" w:ascii="仿宋_GB2312" w:hAnsi="Helvetica" w:eastAsia="仿宋_GB2312" w:cs="仿宋_GB2312"/>
          <w:b/>
          <w:bCs/>
          <w:color w:val="000000" w:themeColor="text1"/>
          <w:sz w:val="32"/>
          <w:szCs w:val="32"/>
          <w:highlight w:val="none"/>
          <w:shd w:val="clear" w:color="auto" w:fill="FFFFFF"/>
          <w14:textFill>
            <w14:solidFill>
              <w14:schemeClr w14:val="tx1"/>
            </w14:solidFill>
          </w14:textFill>
        </w:rPr>
        <w:t>第十八条</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 xml:space="preserve"> </w:t>
      </w:r>
      <w:r>
        <w:rPr>
          <w:rFonts w:hint="eastAsia" w:ascii="仿宋_GB2312" w:hAnsi="Times New Roman" w:eastAsia="仿宋_GB2312" w:cs="Times New Roman"/>
          <w:color w:val="000000" w:themeColor="text1"/>
          <w:kern w:val="0"/>
          <w:sz w:val="32"/>
          <w:highlight w:val="none"/>
          <w14:textFill>
            <w14:solidFill>
              <w14:schemeClr w14:val="tx1"/>
            </w14:solidFill>
          </w14:textFill>
        </w:rPr>
        <w:t>本办法自发布之日起施行，由学生处负责解释。</w:t>
      </w:r>
      <w:r>
        <w:rPr>
          <w:rFonts w:hint="eastAsia" w:ascii="仿宋_GB2312" w:hAnsi="Helvetica" w:eastAsia="仿宋_GB2312" w:cs="仿宋_GB2312"/>
          <w:color w:val="000000" w:themeColor="text1"/>
          <w:kern w:val="0"/>
          <w:sz w:val="32"/>
          <w:szCs w:val="32"/>
          <w:highlight w:val="none"/>
          <w:shd w:val="clear" w:color="auto" w:fill="FFFFFF"/>
          <w:lang w:bidi="ar"/>
          <w14:textFill>
            <w14:solidFill>
              <w14:schemeClr w14:val="tx1"/>
            </w14:solidFill>
          </w14:textFill>
        </w:rPr>
        <w:t>原《安徽建筑大学资助经济困难学生实施办法》（校字〔2017〕92号）同时废止。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